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DE0" w:rsidRPr="00F469AF" w:rsidRDefault="00A22DE0" w:rsidP="00A22DE0">
      <w:pPr>
        <w:spacing w:after="60"/>
        <w:jc w:val="center"/>
        <w:rPr>
          <w:b/>
          <w:bCs/>
          <w:lang w:val="sr-Cyrl-CS"/>
        </w:rPr>
      </w:pPr>
      <w:r w:rsidRPr="00F469AF">
        <w:rPr>
          <w:b/>
          <w:bCs/>
          <w:lang w:val="sr-Cyrl-CS"/>
        </w:rPr>
        <w:t xml:space="preserve">Табела 5.1 </w:t>
      </w:r>
      <w:r w:rsidRPr="00F469AF">
        <w:rPr>
          <w:bCs/>
          <w:lang w:val="sr-Cyrl-CS"/>
        </w:rPr>
        <w:t>Спецификација  предмета  на студијском програму докторских студија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7"/>
        <w:gridCol w:w="2820"/>
        <w:gridCol w:w="3723"/>
      </w:tblGrid>
      <w:tr w:rsidR="00A22DE0" w:rsidRPr="00DE1AB1" w:rsidTr="00DE1AB1">
        <w:trPr>
          <w:trHeight w:val="227"/>
          <w:jc w:val="center"/>
        </w:trPr>
        <w:tc>
          <w:tcPr>
            <w:tcW w:w="9350" w:type="dxa"/>
            <w:gridSpan w:val="3"/>
          </w:tcPr>
          <w:p w:rsidR="00A22DE0" w:rsidRPr="00DE1AB1" w:rsidRDefault="00A22DE0" w:rsidP="00BD41CF">
            <w:pPr>
              <w:jc w:val="both"/>
              <w:rPr>
                <w:rFonts w:ascii="Times" w:hAnsi="Times"/>
              </w:rPr>
            </w:pPr>
            <w:r w:rsidRPr="00DE1AB1">
              <w:rPr>
                <w:rFonts w:ascii="Times" w:hAnsi="Times"/>
                <w:b/>
                <w:bCs/>
                <w:lang w:val="sr-Cyrl-CS"/>
              </w:rPr>
              <w:t xml:space="preserve">Назив предмета: </w:t>
            </w:r>
            <w:r w:rsidR="00D27541" w:rsidRPr="00FE74EF">
              <w:t>Политичка улога религије у XX и XXI веку</w:t>
            </w:r>
          </w:p>
        </w:tc>
      </w:tr>
      <w:tr w:rsidR="00A22DE0" w:rsidRPr="00DE1AB1" w:rsidTr="00DE1AB1">
        <w:trPr>
          <w:trHeight w:val="227"/>
          <w:jc w:val="center"/>
        </w:trPr>
        <w:tc>
          <w:tcPr>
            <w:tcW w:w="9350" w:type="dxa"/>
            <w:gridSpan w:val="3"/>
          </w:tcPr>
          <w:p w:rsidR="00A22DE0" w:rsidRPr="00DE1AB1" w:rsidRDefault="00A22DE0" w:rsidP="00BD41CF">
            <w:pPr>
              <w:jc w:val="both"/>
              <w:rPr>
                <w:rFonts w:ascii="Times" w:hAnsi="Times"/>
                <w:b/>
                <w:bCs/>
              </w:rPr>
            </w:pPr>
            <w:r w:rsidRPr="00DE1AB1">
              <w:rPr>
                <w:rFonts w:ascii="Times" w:hAnsi="Times"/>
                <w:b/>
                <w:bCs/>
                <w:lang w:val="sr-Cyrl-CS"/>
              </w:rPr>
              <w:t>Наставник или наставници:</w:t>
            </w:r>
            <w:r w:rsidR="00F9450D" w:rsidRPr="00DE1AB1">
              <w:rPr>
                <w:rFonts w:ascii="Times" w:hAnsi="Times"/>
                <w:b/>
                <w:bCs/>
              </w:rPr>
              <w:t xml:space="preserve"> </w:t>
            </w:r>
            <w:r w:rsidR="00D27541" w:rsidRPr="00FE74EF">
              <w:rPr>
                <w:bCs/>
              </w:rPr>
              <w:t>Mирољуб С. Јевтић, Марко Д. Вековић</w:t>
            </w:r>
          </w:p>
        </w:tc>
      </w:tr>
      <w:tr w:rsidR="00A22DE0" w:rsidRPr="00DE1AB1" w:rsidTr="00DE1AB1">
        <w:trPr>
          <w:trHeight w:val="227"/>
          <w:jc w:val="center"/>
        </w:trPr>
        <w:tc>
          <w:tcPr>
            <w:tcW w:w="9350" w:type="dxa"/>
            <w:gridSpan w:val="3"/>
          </w:tcPr>
          <w:p w:rsidR="00A22DE0" w:rsidRPr="00DE1AB1" w:rsidRDefault="00A22DE0" w:rsidP="00BD41CF">
            <w:pPr>
              <w:jc w:val="both"/>
              <w:rPr>
                <w:rFonts w:ascii="Times" w:hAnsi="Times"/>
                <w:lang w:val="sr-Cyrl-CS"/>
              </w:rPr>
            </w:pPr>
            <w:r w:rsidRPr="00DE1AB1">
              <w:rPr>
                <w:rFonts w:ascii="Times" w:hAnsi="Times"/>
                <w:b/>
                <w:bCs/>
                <w:lang w:val="sr-Cyrl-CS"/>
              </w:rPr>
              <w:t>Статус предмета:</w:t>
            </w:r>
            <w:r w:rsidR="00F9450D" w:rsidRPr="00DE1AB1">
              <w:rPr>
                <w:rFonts w:ascii="Times" w:hAnsi="Times"/>
                <w:b/>
                <w:bCs/>
                <w:lang w:val="sr-Cyrl-CS"/>
              </w:rPr>
              <w:t xml:space="preserve"> </w:t>
            </w:r>
            <w:r w:rsidR="00F9450D" w:rsidRPr="00DE1AB1">
              <w:rPr>
                <w:rFonts w:ascii="Times" w:hAnsi="Times"/>
                <w:lang w:val="sr-Cyrl-CS"/>
              </w:rPr>
              <w:t>изборни</w:t>
            </w:r>
          </w:p>
        </w:tc>
      </w:tr>
      <w:tr w:rsidR="00A22DE0" w:rsidRPr="00DE1AB1" w:rsidTr="00DE1AB1">
        <w:trPr>
          <w:trHeight w:val="227"/>
          <w:jc w:val="center"/>
        </w:trPr>
        <w:tc>
          <w:tcPr>
            <w:tcW w:w="9350" w:type="dxa"/>
            <w:gridSpan w:val="3"/>
          </w:tcPr>
          <w:p w:rsidR="00A22DE0" w:rsidRPr="00DE1AB1" w:rsidRDefault="00A22DE0" w:rsidP="00BD41CF">
            <w:pPr>
              <w:jc w:val="both"/>
              <w:rPr>
                <w:rFonts w:ascii="Times" w:hAnsi="Times"/>
                <w:lang w:val="sr-Cyrl-CS"/>
              </w:rPr>
            </w:pPr>
            <w:r w:rsidRPr="00DE1AB1">
              <w:rPr>
                <w:rFonts w:ascii="Times" w:hAnsi="Times"/>
                <w:b/>
                <w:bCs/>
                <w:lang w:val="sr-Cyrl-CS"/>
              </w:rPr>
              <w:t>Број ЕСПБ:</w:t>
            </w:r>
            <w:r w:rsidR="00F9450D" w:rsidRPr="00DE1AB1">
              <w:rPr>
                <w:rFonts w:ascii="Times" w:hAnsi="Times"/>
                <w:b/>
                <w:bCs/>
                <w:lang w:val="sr-Cyrl-CS"/>
              </w:rPr>
              <w:t xml:space="preserve"> </w:t>
            </w:r>
            <w:r w:rsidR="00F9450D" w:rsidRPr="00DE1AB1">
              <w:rPr>
                <w:rFonts w:ascii="Times" w:hAnsi="Times"/>
                <w:lang w:val="sr-Cyrl-CS"/>
              </w:rPr>
              <w:t>10</w:t>
            </w:r>
          </w:p>
        </w:tc>
      </w:tr>
      <w:tr w:rsidR="00A22DE0" w:rsidRPr="00DE1AB1" w:rsidTr="00DE1AB1">
        <w:trPr>
          <w:trHeight w:val="227"/>
          <w:jc w:val="center"/>
        </w:trPr>
        <w:tc>
          <w:tcPr>
            <w:tcW w:w="9350" w:type="dxa"/>
            <w:gridSpan w:val="3"/>
          </w:tcPr>
          <w:p w:rsidR="00A22DE0" w:rsidRPr="00DE1AB1" w:rsidRDefault="00A22DE0" w:rsidP="00BD41CF">
            <w:pPr>
              <w:jc w:val="both"/>
              <w:rPr>
                <w:rFonts w:ascii="Times" w:hAnsi="Times"/>
                <w:lang w:val="sr-Cyrl-CS"/>
              </w:rPr>
            </w:pPr>
            <w:r w:rsidRPr="00DE1AB1">
              <w:rPr>
                <w:rFonts w:ascii="Times" w:hAnsi="Times"/>
                <w:b/>
                <w:bCs/>
                <w:lang w:val="sr-Cyrl-CS"/>
              </w:rPr>
              <w:t>Услов:</w:t>
            </w:r>
          </w:p>
        </w:tc>
      </w:tr>
      <w:tr w:rsidR="00A22DE0" w:rsidRPr="00DE1AB1" w:rsidTr="00DE1AB1">
        <w:trPr>
          <w:trHeight w:val="227"/>
          <w:jc w:val="center"/>
        </w:trPr>
        <w:tc>
          <w:tcPr>
            <w:tcW w:w="9350" w:type="dxa"/>
            <w:gridSpan w:val="3"/>
          </w:tcPr>
          <w:p w:rsidR="00DE1AB1" w:rsidRPr="003028D1" w:rsidRDefault="00A22DE0" w:rsidP="003028D1">
            <w:pPr>
              <w:jc w:val="both"/>
            </w:pPr>
            <w:r w:rsidRPr="00DE1AB1">
              <w:rPr>
                <w:rFonts w:ascii="Times" w:hAnsi="Times"/>
                <w:b/>
                <w:bCs/>
                <w:lang w:val="sr-Cyrl-CS"/>
              </w:rPr>
              <w:t>Циљ предмета</w:t>
            </w:r>
            <w:r w:rsidR="00DE1AB1">
              <w:rPr>
                <w:rFonts w:ascii="Times" w:hAnsi="Times"/>
                <w:b/>
                <w:bCs/>
              </w:rPr>
              <w:t>:</w:t>
            </w:r>
            <w:r w:rsidR="003028D1">
              <w:rPr>
                <w:rFonts w:ascii="Times" w:hAnsi="Times"/>
                <w:b/>
                <w:bCs/>
              </w:rPr>
              <w:t xml:space="preserve"> </w:t>
            </w:r>
            <w:r w:rsidR="00D27541">
              <w:rPr>
                <w:bCs/>
              </w:rPr>
              <w:t>Однос религије и политике представља једну од најважнијих дебата у савременим политичким наукама. Поред разумевања општег значаја религије за политику, главни циљ овог предмета јесте припрема и оспособљавање полазника за самосталан научно-истраживачки рад у области политикологије религије. Полазници ће бити упознати са релевантним истраживачким проблемима и теоријским парадигмама, различитим методолошким приступима, и биће обучавани у смеру развијања самосталног, оригиналног, теоријски заснованог и релевантног, истраживачког дизајна у области политикологије религије.</w:t>
            </w:r>
          </w:p>
        </w:tc>
      </w:tr>
      <w:tr w:rsidR="00A22DE0" w:rsidRPr="00DE1AB1" w:rsidTr="00DE1AB1">
        <w:trPr>
          <w:trHeight w:val="227"/>
          <w:jc w:val="center"/>
        </w:trPr>
        <w:tc>
          <w:tcPr>
            <w:tcW w:w="9350" w:type="dxa"/>
            <w:gridSpan w:val="3"/>
          </w:tcPr>
          <w:p w:rsidR="00A22DE0" w:rsidRPr="003028D1" w:rsidRDefault="00A22DE0" w:rsidP="003028D1">
            <w:pPr>
              <w:pStyle w:val="NormalWeb"/>
              <w:shd w:val="clear" w:color="auto" w:fill="FFFFFF"/>
            </w:pPr>
            <w:r w:rsidRPr="00DE1AB1">
              <w:rPr>
                <w:b/>
                <w:bCs/>
                <w:lang w:val="sr-Cyrl-CS"/>
              </w:rPr>
              <w:t>Исход предмета</w:t>
            </w:r>
            <w:r w:rsidR="003028D1">
              <w:rPr>
                <w:b/>
                <w:bCs/>
                <w:lang w:val="sr-Cyrl-CS"/>
              </w:rPr>
              <w:t xml:space="preserve">: </w:t>
            </w:r>
            <w:r w:rsidR="00D27541">
              <w:rPr>
                <w:rFonts w:ascii="Times New Roman" w:hAnsi="Times New Roman"/>
              </w:rPr>
              <w:t>Главни исход овог предмета јесте оспособљавање полазника за самосталан научно-истраживачки рад у области политикологије религије. Полазници ће бити упознати са релевантним теоријским расправама и парадигмама у области, различитим методолошким приступима, и биће оспособљени за припрему и израду релевантног истраживачког дизајна у области политикологије религије.</w:t>
            </w:r>
          </w:p>
        </w:tc>
      </w:tr>
      <w:tr w:rsidR="00A22DE0" w:rsidRPr="00DE1AB1" w:rsidTr="00DE1AB1">
        <w:trPr>
          <w:trHeight w:val="227"/>
          <w:jc w:val="center"/>
        </w:trPr>
        <w:tc>
          <w:tcPr>
            <w:tcW w:w="9350" w:type="dxa"/>
            <w:gridSpan w:val="3"/>
          </w:tcPr>
          <w:p w:rsidR="00A22DE0" w:rsidRPr="00DE1AB1" w:rsidRDefault="00A22DE0" w:rsidP="00F9450D">
            <w:pPr>
              <w:jc w:val="both"/>
              <w:rPr>
                <w:rFonts w:ascii="Times" w:hAnsi="Times"/>
                <w:b/>
                <w:bCs/>
                <w:lang w:val="sr-Cyrl-CS"/>
              </w:rPr>
            </w:pPr>
            <w:r w:rsidRPr="00DE1AB1">
              <w:rPr>
                <w:rFonts w:ascii="Times" w:hAnsi="Times"/>
                <w:b/>
                <w:bCs/>
                <w:lang w:val="sr-Cyrl-CS"/>
              </w:rPr>
              <w:t>Садржај предмета</w:t>
            </w:r>
            <w:r w:rsidR="00DE1AB1" w:rsidRPr="00DE1AB1">
              <w:rPr>
                <w:rFonts w:ascii="Times" w:hAnsi="Times"/>
                <w:b/>
                <w:bCs/>
              </w:rPr>
              <w:t xml:space="preserve"> </w:t>
            </w:r>
            <w:r w:rsidRPr="00DE1AB1">
              <w:rPr>
                <w:rFonts w:ascii="Times" w:hAnsi="Times"/>
                <w:i/>
                <w:iCs/>
                <w:lang w:val="sr-Cyrl-CS"/>
              </w:rPr>
              <w:t>Теоријска настава</w:t>
            </w:r>
            <w:r w:rsidR="00DE1AB1" w:rsidRPr="00DE1AB1">
              <w:rPr>
                <w:rFonts w:ascii="Times" w:hAnsi="Times"/>
                <w:i/>
                <w:iCs/>
              </w:rPr>
              <w:t xml:space="preserve">: </w:t>
            </w:r>
            <w:r w:rsidR="00D27541" w:rsidRPr="001173E3">
              <w:rPr>
                <w:iCs/>
                <w:lang w:val="sr-Cyrl-CS"/>
              </w:rPr>
              <w:t>Уводне напомене</w:t>
            </w:r>
            <w:r w:rsidR="00D27541">
              <w:rPr>
                <w:iCs/>
              </w:rPr>
              <w:t>; Религија и политика у XX и XXI веку: упоредна перспектива; Како истраживати утицај религије на политику?; Теза о секуларизацији; Концептуални и теоријски приступи у истраживању религије и политике; Истраживање религије у јавној сфери; Верска припадност и политичке преференције; Политичко понашање верских актера; Политичке институције и религија; Црква и држава у упоредној перспективи; Религија и демократија; Религија, насиље и конфликти; Улога религије у грађењу мира; Религија и политичка мобилизација; Религија у међународним односима; Религијски фундаментализам и екстремизам;</w:t>
            </w:r>
          </w:p>
        </w:tc>
      </w:tr>
      <w:tr w:rsidR="00A22DE0" w:rsidRPr="00DE1AB1" w:rsidTr="00DE1AB1">
        <w:trPr>
          <w:trHeight w:val="227"/>
          <w:jc w:val="center"/>
        </w:trPr>
        <w:tc>
          <w:tcPr>
            <w:tcW w:w="9350" w:type="dxa"/>
            <w:gridSpan w:val="3"/>
          </w:tcPr>
          <w:p w:rsidR="00D27541" w:rsidRPr="004254F4" w:rsidRDefault="00A22DE0" w:rsidP="00D27541">
            <w:pPr>
              <w:tabs>
                <w:tab w:val="left" w:pos="567"/>
              </w:tabs>
              <w:spacing w:after="60" w:line="254" w:lineRule="auto"/>
              <w:jc w:val="both"/>
            </w:pPr>
            <w:r w:rsidRPr="00DE1AB1">
              <w:rPr>
                <w:rFonts w:ascii="Times" w:hAnsi="Times"/>
                <w:b/>
                <w:bCs/>
                <w:lang w:val="sr-Cyrl-CS"/>
              </w:rPr>
              <w:t>Препоручена литература</w:t>
            </w:r>
            <w:r w:rsidR="00DE1AB1" w:rsidRPr="00DE1AB1">
              <w:rPr>
                <w:rFonts w:ascii="Times" w:hAnsi="Times"/>
                <w:b/>
                <w:bCs/>
              </w:rPr>
              <w:t>:</w:t>
            </w:r>
            <w:r w:rsidRPr="00DE1AB1">
              <w:rPr>
                <w:rFonts w:ascii="Times" w:hAnsi="Times"/>
                <w:b/>
                <w:bCs/>
                <w:lang w:val="sr-Cyrl-CS"/>
              </w:rPr>
              <w:t xml:space="preserve"> </w:t>
            </w:r>
            <w:r w:rsidR="00D27541" w:rsidRPr="000C5373">
              <w:rPr>
                <w:rFonts w:eastAsia="Times New Roman"/>
                <w:lang w:eastAsia="en-GB"/>
              </w:rPr>
              <w:t xml:space="preserve">Miroljub Jevtić, Political Science and Religion, </w:t>
            </w:r>
            <w:r w:rsidR="00D27541" w:rsidRPr="000C5373">
              <w:rPr>
                <w:rFonts w:eastAsia="Times New Roman"/>
                <w:i/>
                <w:iCs/>
                <w:lang w:eastAsia="en-GB"/>
              </w:rPr>
              <w:t>Politics and Religion Journal</w:t>
            </w:r>
            <w:r w:rsidR="00D27541" w:rsidRPr="000C5373">
              <w:rPr>
                <w:rFonts w:eastAsia="Times New Roman"/>
                <w:lang w:eastAsia="en-GB"/>
              </w:rPr>
              <w:t>, Vol. 1, No. 1, 2007, pp. 59-69</w:t>
            </w:r>
            <w:r w:rsidR="00D27541" w:rsidRPr="000C5373">
              <w:t>;</w:t>
            </w:r>
            <w:r w:rsidR="00D27541">
              <w:t xml:space="preserve"> </w:t>
            </w:r>
            <w:r w:rsidR="00D27541" w:rsidRPr="003A2C36">
              <w:rPr>
                <w:rFonts w:eastAsia="Times New Roman"/>
                <w:lang w:eastAsia="en-GB"/>
              </w:rPr>
              <w:t>Christian</w:t>
            </w:r>
            <w:r w:rsidR="00D27541" w:rsidRPr="000C5373">
              <w:rPr>
                <w:rFonts w:eastAsia="Times New Roman"/>
                <w:lang w:eastAsia="en-GB"/>
              </w:rPr>
              <w:t xml:space="preserve"> </w:t>
            </w:r>
            <w:r w:rsidR="00D27541" w:rsidRPr="003A2C36">
              <w:rPr>
                <w:rFonts w:eastAsia="Times New Roman"/>
                <w:lang w:eastAsia="en-GB"/>
              </w:rPr>
              <w:t>Smith</w:t>
            </w:r>
            <w:r w:rsidR="00D27541" w:rsidRPr="000C5373">
              <w:t xml:space="preserve">, </w:t>
            </w:r>
            <w:r w:rsidR="00D27541" w:rsidRPr="003A2C36">
              <w:rPr>
                <w:rFonts w:eastAsia="Times New Roman"/>
                <w:i/>
                <w:iCs/>
                <w:lang w:eastAsia="en-GB"/>
              </w:rPr>
              <w:t>Religion: What It Is, How It Works, and Why It Matters</w:t>
            </w:r>
            <w:r w:rsidR="00D27541" w:rsidRPr="000C5373">
              <w:t xml:space="preserve">, </w:t>
            </w:r>
            <w:r w:rsidR="00D27541" w:rsidRPr="003A2C36">
              <w:rPr>
                <w:rFonts w:eastAsia="Times New Roman"/>
                <w:lang w:eastAsia="en-GB"/>
              </w:rPr>
              <w:t xml:space="preserve">Princeton University Press, </w:t>
            </w:r>
            <w:r w:rsidR="00D27541" w:rsidRPr="000C5373">
              <w:t>2017;</w:t>
            </w:r>
            <w:r w:rsidR="00D27541">
              <w:t xml:space="preserve"> </w:t>
            </w:r>
            <w:r w:rsidR="00D27541">
              <w:rPr>
                <w:i/>
                <w:iCs/>
              </w:rPr>
              <w:t xml:space="preserve">Routledge Handbook of Research Methods in the Study of Religion, </w:t>
            </w:r>
            <w:r w:rsidR="00D27541">
              <w:t>Michael Stausberg &amp; Steven Engler (eds.), Routledge, London &amp; New York, 2011;</w:t>
            </w:r>
            <w:r w:rsidR="00D27541" w:rsidRPr="000C5373">
              <w:t xml:space="preserve"> Kenneth D. Wald, Adam Silverman,</w:t>
            </w:r>
            <w:r w:rsidR="00D27541">
              <w:t xml:space="preserve"> </w:t>
            </w:r>
            <w:r w:rsidR="00D27541" w:rsidRPr="000C5373">
              <w:t xml:space="preserve">Kevin Fridy, Making Sense of Religion in Political Life, </w:t>
            </w:r>
            <w:r w:rsidR="00D27541" w:rsidRPr="000C5373">
              <w:rPr>
                <w:i/>
                <w:iCs/>
              </w:rPr>
              <w:t xml:space="preserve">Annual Review of Political Science, </w:t>
            </w:r>
            <w:r w:rsidR="00D27541" w:rsidRPr="000C5373">
              <w:t xml:space="preserve">Vol. 8, 2005, pp. 121-141; </w:t>
            </w:r>
            <w:r w:rsidR="00D27541" w:rsidRPr="000C5373">
              <w:rPr>
                <w:rFonts w:eastAsia="Times New Roman"/>
                <w:lang w:eastAsia="en-GB"/>
              </w:rPr>
              <w:t>Corwin Smidt, Lyman A. Kellstedt, James L. Guth</w:t>
            </w:r>
            <w:r w:rsidR="00D27541" w:rsidRPr="000C5373">
              <w:t xml:space="preserve">, </w:t>
            </w:r>
            <w:r w:rsidR="00D27541" w:rsidRPr="000C5373">
              <w:rPr>
                <w:rFonts w:eastAsia="Times New Roman"/>
                <w:lang w:eastAsia="en-GB"/>
              </w:rPr>
              <w:t>“The Role of Religion in American Politics: Explanatory Theories and Associated Analytical and Measurement Issues”</w:t>
            </w:r>
            <w:r w:rsidR="00D27541" w:rsidRPr="000C5373">
              <w:t>, i</w:t>
            </w:r>
            <w:r w:rsidR="00D27541" w:rsidRPr="000C5373">
              <w:rPr>
                <w:rFonts w:eastAsia="Times New Roman"/>
                <w:lang w:eastAsia="en-GB"/>
              </w:rPr>
              <w:t>n</w:t>
            </w:r>
            <w:r w:rsidR="00D27541" w:rsidRPr="000C5373">
              <w:t>:</w:t>
            </w:r>
            <w:r w:rsidR="00D27541" w:rsidRPr="000C5373">
              <w:rPr>
                <w:rFonts w:eastAsia="Times New Roman"/>
                <w:lang w:eastAsia="en-GB"/>
              </w:rPr>
              <w:t xml:space="preserve"> </w:t>
            </w:r>
            <w:r w:rsidR="00D27541" w:rsidRPr="000C5373">
              <w:rPr>
                <w:rFonts w:eastAsia="Times New Roman"/>
                <w:i/>
                <w:iCs/>
                <w:lang w:eastAsia="en-GB"/>
              </w:rPr>
              <w:t>The Oxford Handbook of Religion and American Politics</w:t>
            </w:r>
            <w:r w:rsidR="00D27541" w:rsidRPr="000C5373">
              <w:rPr>
                <w:rFonts w:eastAsia="Times New Roman"/>
                <w:lang w:eastAsia="en-GB"/>
              </w:rPr>
              <w:t>, Corwin E. Smidt Lyman A. Kellstedt, and James L. Guth</w:t>
            </w:r>
            <w:r w:rsidR="00D27541" w:rsidRPr="000C5373">
              <w:t xml:space="preserve"> (</w:t>
            </w:r>
            <w:r w:rsidR="00D27541" w:rsidRPr="000C5373">
              <w:rPr>
                <w:rFonts w:eastAsia="Times New Roman"/>
                <w:lang w:eastAsia="en-GB"/>
              </w:rPr>
              <w:t>eds</w:t>
            </w:r>
            <w:r w:rsidR="00D27541" w:rsidRPr="000C5373">
              <w:t>),</w:t>
            </w:r>
            <w:r w:rsidR="00D27541" w:rsidRPr="000C5373">
              <w:rPr>
                <w:rFonts w:eastAsia="Times New Roman"/>
                <w:lang w:eastAsia="en-GB"/>
              </w:rPr>
              <w:t xml:space="preserve"> Oxford University Press</w:t>
            </w:r>
            <w:r w:rsidR="00D27541" w:rsidRPr="000C5373">
              <w:t xml:space="preserve">, </w:t>
            </w:r>
            <w:r w:rsidR="00D27541" w:rsidRPr="000C5373">
              <w:rPr>
                <w:rFonts w:eastAsia="Times New Roman"/>
                <w:lang w:eastAsia="en-GB"/>
              </w:rPr>
              <w:t>2009</w:t>
            </w:r>
            <w:r w:rsidR="00D27541" w:rsidRPr="000C5373">
              <w:t xml:space="preserve">; Paul Djupe, Brian R. Calfano, </w:t>
            </w:r>
            <w:r w:rsidR="00D27541" w:rsidRPr="000C5373">
              <w:rPr>
                <w:i/>
                <w:iCs/>
              </w:rPr>
              <w:t>God Talk: Experimenting with the Religious Causes of Public Opinion</w:t>
            </w:r>
            <w:r w:rsidR="00D27541" w:rsidRPr="000C5373">
              <w:t xml:space="preserve">, Temple University Press, 2014; Laura Olson, The Essentiality of ‘Culture’ in the Study of Religion, </w:t>
            </w:r>
            <w:r w:rsidR="00D27541" w:rsidRPr="000C5373">
              <w:rPr>
                <w:i/>
                <w:iCs/>
              </w:rPr>
              <w:t xml:space="preserve">Journal for the Scientific Study of Religion, </w:t>
            </w:r>
            <w:r w:rsidR="00D27541" w:rsidRPr="000C5373">
              <w:t xml:space="preserve">Vol. 50, 2011, pp. 639-653; </w:t>
            </w:r>
            <w:r w:rsidR="00D27541" w:rsidRPr="000C5373">
              <w:rPr>
                <w:rFonts w:eastAsia="Times New Roman"/>
                <w:lang w:eastAsia="en-GB"/>
              </w:rPr>
              <w:t xml:space="preserve">Jonathan Fox, </w:t>
            </w:r>
            <w:r w:rsidR="00D27541" w:rsidRPr="000C5373">
              <w:rPr>
                <w:rFonts w:eastAsia="Times New Roman"/>
                <w:i/>
                <w:iCs/>
                <w:lang w:eastAsia="en-GB"/>
              </w:rPr>
              <w:t>Introduction to Religion and Politics</w:t>
            </w:r>
            <w:r w:rsidR="00D27541" w:rsidRPr="000C5373">
              <w:rPr>
                <w:rFonts w:eastAsia="Times New Roman"/>
                <w:lang w:eastAsia="en-GB"/>
              </w:rPr>
              <w:t xml:space="preserve">, </w:t>
            </w:r>
            <w:r w:rsidR="00D27541" w:rsidRPr="000C5373">
              <w:rPr>
                <w:rFonts w:eastAsia="Times New Roman"/>
                <w:i/>
                <w:iCs/>
                <w:lang w:eastAsia="en-GB"/>
              </w:rPr>
              <w:t>Theory and Practice</w:t>
            </w:r>
            <w:r w:rsidR="00D27541" w:rsidRPr="000C5373">
              <w:rPr>
                <w:rFonts w:eastAsia="Times New Roman"/>
                <w:lang w:eastAsia="en-GB"/>
              </w:rPr>
              <w:t>, Routledge Studies in Religion and Politics, 2013</w:t>
            </w:r>
            <w:r w:rsidR="00D27541" w:rsidRPr="000C5373">
              <w:t xml:space="preserve">; </w:t>
            </w:r>
            <w:r w:rsidR="00D27541" w:rsidRPr="000C5373">
              <w:rPr>
                <w:rFonts w:eastAsia="Times New Roman"/>
                <w:lang w:eastAsia="en-GB"/>
              </w:rPr>
              <w:t xml:space="preserve">Jose Casanova, </w:t>
            </w:r>
            <w:r w:rsidR="00D27541" w:rsidRPr="000C5373">
              <w:rPr>
                <w:rFonts w:eastAsia="Times New Roman"/>
                <w:i/>
                <w:iCs/>
                <w:lang w:eastAsia="en-GB"/>
              </w:rPr>
              <w:t>Public Religions in the Modern World</w:t>
            </w:r>
            <w:r w:rsidR="00D27541" w:rsidRPr="000C5373">
              <w:rPr>
                <w:rFonts w:eastAsia="Times New Roman"/>
                <w:lang w:eastAsia="en-GB"/>
              </w:rPr>
              <w:t>, University of Chicago Press, 1994</w:t>
            </w:r>
            <w:r w:rsidR="00D27541" w:rsidRPr="000C5373">
              <w:t xml:space="preserve">; </w:t>
            </w:r>
            <w:r w:rsidR="00D27541" w:rsidRPr="000C5373">
              <w:rPr>
                <w:rFonts w:eastAsia="Times New Roman"/>
                <w:lang w:eastAsia="en-GB"/>
              </w:rPr>
              <w:t xml:space="preserve">Monica D. Toft, Daniel Philpott and Timothy Shah, </w:t>
            </w:r>
            <w:r w:rsidR="00D27541" w:rsidRPr="000C5373">
              <w:rPr>
                <w:rFonts w:eastAsia="Times New Roman"/>
                <w:i/>
                <w:iCs/>
                <w:lang w:eastAsia="en-GB"/>
              </w:rPr>
              <w:t>God’s Century: Resurgence of Religion and Global Politics</w:t>
            </w:r>
            <w:r w:rsidR="00D27541" w:rsidRPr="000C5373">
              <w:rPr>
                <w:rFonts w:eastAsia="Times New Roman"/>
                <w:lang w:eastAsia="en-GB"/>
              </w:rPr>
              <w:t>, W.W. Norton &amp; Company, 2011</w:t>
            </w:r>
            <w:r w:rsidR="00D27541" w:rsidRPr="000C5373">
              <w:t xml:space="preserve">; Daniel Philpott, Explaining the Political Ambivalence of Religion, </w:t>
            </w:r>
            <w:r w:rsidR="00D27541" w:rsidRPr="000C5373">
              <w:rPr>
                <w:i/>
                <w:iCs/>
              </w:rPr>
              <w:t xml:space="preserve">American Political Science Review, </w:t>
            </w:r>
            <w:r w:rsidR="00D27541" w:rsidRPr="000C5373">
              <w:t xml:space="preserve">Vol. 101, 2007, pp. 505-525; Anthony Gill, Rendering unto Caesar? Religious Competition and Catholic Political Strategy, </w:t>
            </w:r>
            <w:r w:rsidR="00D27541" w:rsidRPr="000C5373">
              <w:rPr>
                <w:i/>
                <w:iCs/>
              </w:rPr>
              <w:t xml:space="preserve">American Journal of Political Science, </w:t>
            </w:r>
            <w:r w:rsidR="00D27541" w:rsidRPr="000C5373">
              <w:t>Vol.</w:t>
            </w:r>
            <w:r w:rsidR="00D27541" w:rsidRPr="000C5373">
              <w:rPr>
                <w:i/>
                <w:iCs/>
              </w:rPr>
              <w:t xml:space="preserve"> </w:t>
            </w:r>
            <w:r w:rsidR="00D27541" w:rsidRPr="000C5373">
              <w:t>38, 1994, pp. 403-425; Peter L. Berger, “The Desecularization of the World: A Global Overview”</w:t>
            </w:r>
            <w:r w:rsidR="00D27541">
              <w:t>, i</w:t>
            </w:r>
            <w:r w:rsidR="00D27541" w:rsidRPr="000C5373">
              <w:t>n</w:t>
            </w:r>
            <w:r w:rsidR="00D27541">
              <w:t xml:space="preserve">: </w:t>
            </w:r>
            <w:r w:rsidR="00D27541" w:rsidRPr="000C5373">
              <w:rPr>
                <w:i/>
                <w:iCs/>
              </w:rPr>
              <w:t>The Desecularization of the World: Resurgent Religion and World Politics</w:t>
            </w:r>
            <w:r w:rsidR="00D27541" w:rsidRPr="000C5373">
              <w:t xml:space="preserve">, Peter L. Berger (ed.), Washington, DC: Ethics and Public Policy Center, 1999; Anthony Gill, Religion and Comparative Politics, </w:t>
            </w:r>
            <w:r w:rsidR="00D27541" w:rsidRPr="000C5373">
              <w:rPr>
                <w:i/>
                <w:iCs/>
              </w:rPr>
              <w:t xml:space="preserve">Annual Review of Political Science, </w:t>
            </w:r>
            <w:r w:rsidR="00D27541" w:rsidRPr="000C5373">
              <w:t xml:space="preserve">Vol. 4, 2001, pp. 117-138; </w:t>
            </w:r>
            <w:r w:rsidR="00D27541" w:rsidRPr="000C5373">
              <w:rPr>
                <w:rFonts w:eastAsia="Times New Roman"/>
                <w:lang w:eastAsia="en-GB"/>
              </w:rPr>
              <w:t xml:space="preserve">Alfred Stepan, Religion, Democracy, and the ‘Twin Toleration’, </w:t>
            </w:r>
            <w:r w:rsidR="00D27541" w:rsidRPr="000C5373">
              <w:rPr>
                <w:rFonts w:eastAsia="Times New Roman"/>
                <w:i/>
                <w:iCs/>
                <w:lang w:eastAsia="en-GB"/>
              </w:rPr>
              <w:t>Journal of Democracy</w:t>
            </w:r>
            <w:r w:rsidR="00D27541" w:rsidRPr="000C5373">
              <w:rPr>
                <w:rFonts w:eastAsia="Times New Roman"/>
                <w:lang w:eastAsia="en-GB"/>
              </w:rPr>
              <w:t>, Vol. 11, No. 4, 2000, pp. 37-57</w:t>
            </w:r>
            <w:r w:rsidR="00D27541" w:rsidRPr="000C5373">
              <w:t xml:space="preserve">; </w:t>
            </w:r>
            <w:r w:rsidR="00D27541" w:rsidRPr="000C5373">
              <w:rPr>
                <w:rFonts w:eastAsia="Times New Roman"/>
                <w:lang w:eastAsia="en-GB"/>
              </w:rPr>
              <w:t xml:space="preserve">Marko Veković, </w:t>
            </w:r>
            <w:r w:rsidR="00D27541" w:rsidRPr="000C5373">
              <w:rPr>
                <w:rFonts w:eastAsia="Times New Roman"/>
                <w:i/>
                <w:iCs/>
                <w:lang w:eastAsia="en-GB"/>
              </w:rPr>
              <w:t>Democratization in Christian Orthodox Europe: Comparing Greece, Serbia and Russia</w:t>
            </w:r>
            <w:r w:rsidR="00D27541" w:rsidRPr="000C5373">
              <w:rPr>
                <w:rFonts w:eastAsia="Times New Roman"/>
                <w:lang w:eastAsia="en-GB"/>
              </w:rPr>
              <w:t>, Routledge, London &amp; New York, 2020</w:t>
            </w:r>
            <w:r w:rsidR="00D27541" w:rsidRPr="000C5373">
              <w:t xml:space="preserve">; </w:t>
            </w:r>
            <w:r w:rsidR="00D27541" w:rsidRPr="000C5373">
              <w:rPr>
                <w:rFonts w:eastAsia="Times New Roman"/>
                <w:lang w:eastAsia="en-GB"/>
              </w:rPr>
              <w:t xml:space="preserve">Samuel P. Huntington, </w:t>
            </w:r>
            <w:r w:rsidR="00D27541" w:rsidRPr="000C5373">
              <w:rPr>
                <w:rFonts w:eastAsia="Times New Roman"/>
                <w:i/>
                <w:iCs/>
                <w:lang w:eastAsia="en-GB"/>
              </w:rPr>
              <w:t xml:space="preserve">The Third Wave: Democratization in the later </w:t>
            </w:r>
            <w:r w:rsidR="00D27541" w:rsidRPr="000C5373">
              <w:rPr>
                <w:i/>
                <w:iCs/>
              </w:rPr>
              <w:t>20</w:t>
            </w:r>
            <w:r w:rsidR="00D27541" w:rsidRPr="000C5373">
              <w:rPr>
                <w:i/>
                <w:iCs/>
                <w:vertAlign w:val="superscript"/>
              </w:rPr>
              <w:t>th</w:t>
            </w:r>
            <w:r w:rsidR="00D27541" w:rsidRPr="000C5373">
              <w:rPr>
                <w:i/>
                <w:iCs/>
              </w:rPr>
              <w:t xml:space="preserve"> </w:t>
            </w:r>
            <w:r w:rsidR="00D27541" w:rsidRPr="000C5373">
              <w:rPr>
                <w:rFonts w:eastAsia="Times New Roman"/>
                <w:i/>
                <w:iCs/>
                <w:lang w:eastAsia="en-GB"/>
              </w:rPr>
              <w:t>Century</w:t>
            </w:r>
            <w:r w:rsidR="00D27541" w:rsidRPr="000C5373">
              <w:rPr>
                <w:rFonts w:eastAsia="Times New Roman"/>
                <w:lang w:eastAsia="en-GB"/>
              </w:rPr>
              <w:t>, University of Oklahoma Press, 1993</w:t>
            </w:r>
            <w:r w:rsidR="00D27541" w:rsidRPr="000C5373">
              <w:t xml:space="preserve">; </w:t>
            </w:r>
            <w:r w:rsidR="00D27541" w:rsidRPr="000C5373">
              <w:rPr>
                <w:rFonts w:eastAsia="Times New Roman"/>
                <w:lang w:eastAsia="en-GB"/>
              </w:rPr>
              <w:t xml:space="preserve">Gabriel Almond, R. Scott Appleby, Emmanuel Sivan, </w:t>
            </w:r>
            <w:r w:rsidR="00D27541" w:rsidRPr="000C5373">
              <w:rPr>
                <w:rFonts w:eastAsia="Times New Roman"/>
                <w:i/>
                <w:iCs/>
                <w:lang w:eastAsia="en-GB"/>
              </w:rPr>
              <w:t>Strong Religion: The Rise of Fundamentalism Around the Globe</w:t>
            </w:r>
            <w:r w:rsidR="00D27541" w:rsidRPr="000C5373">
              <w:rPr>
                <w:rFonts w:eastAsia="Times New Roman"/>
                <w:lang w:eastAsia="en-GB"/>
              </w:rPr>
              <w:t>, The University of Chicago Press, 2003</w:t>
            </w:r>
            <w:r w:rsidR="00D27541" w:rsidRPr="000C5373">
              <w:t xml:space="preserve">; </w:t>
            </w:r>
            <w:r w:rsidR="00D27541">
              <w:t xml:space="preserve">Semjuel Hantington, </w:t>
            </w:r>
            <w:r w:rsidR="00D27541">
              <w:rPr>
                <w:i/>
              </w:rPr>
              <w:t xml:space="preserve">Sukob civilizacija i preoblikovanje svetskog poretka, </w:t>
            </w:r>
            <w:r w:rsidR="00D27541">
              <w:t>CID, Podgorica, 2004.</w:t>
            </w:r>
          </w:p>
          <w:p w:rsidR="00A22DE0" w:rsidRPr="00DE1AB1" w:rsidRDefault="00A22DE0" w:rsidP="00DE1AB1">
            <w:pPr>
              <w:jc w:val="both"/>
              <w:rPr>
                <w:rFonts w:ascii="Times" w:hAnsi="Times"/>
                <w:b/>
                <w:bCs/>
                <w:lang w:val="sr-Cyrl-CS"/>
              </w:rPr>
            </w:pPr>
          </w:p>
        </w:tc>
      </w:tr>
      <w:tr w:rsidR="00A22DE0" w:rsidRPr="00DE1AB1" w:rsidTr="00DE1AB1">
        <w:trPr>
          <w:trHeight w:val="227"/>
          <w:jc w:val="center"/>
        </w:trPr>
        <w:tc>
          <w:tcPr>
            <w:tcW w:w="2807" w:type="dxa"/>
          </w:tcPr>
          <w:p w:rsidR="00A22DE0" w:rsidRPr="00DE1AB1" w:rsidRDefault="00A22DE0" w:rsidP="00BD41CF">
            <w:pPr>
              <w:jc w:val="both"/>
              <w:rPr>
                <w:rFonts w:ascii="Times" w:hAnsi="Times"/>
                <w:bCs/>
                <w:lang w:val="sr-Cyrl-CS"/>
              </w:rPr>
            </w:pPr>
            <w:r w:rsidRPr="00DE1AB1">
              <w:rPr>
                <w:rFonts w:ascii="Times" w:hAnsi="Times"/>
                <w:bCs/>
                <w:lang w:val="sr-Cyrl-CS"/>
              </w:rPr>
              <w:t xml:space="preserve">Број часова </w:t>
            </w:r>
            <w:r w:rsidRPr="00DE1AB1">
              <w:rPr>
                <w:rFonts w:ascii="Times" w:hAnsi="Times"/>
                <w:lang w:val="sr-Cyrl-CS"/>
              </w:rPr>
              <w:t xml:space="preserve"> активне наставе</w:t>
            </w:r>
          </w:p>
        </w:tc>
        <w:tc>
          <w:tcPr>
            <w:tcW w:w="2820" w:type="dxa"/>
          </w:tcPr>
          <w:p w:rsidR="00A22DE0" w:rsidRPr="00DE1AB1" w:rsidRDefault="00A22DE0" w:rsidP="00BD41CF">
            <w:pPr>
              <w:jc w:val="both"/>
              <w:rPr>
                <w:rFonts w:ascii="Times" w:hAnsi="Times"/>
                <w:bCs/>
                <w:lang w:val="sr-Cyrl-CS"/>
              </w:rPr>
            </w:pPr>
            <w:r w:rsidRPr="00DE1AB1">
              <w:rPr>
                <w:rFonts w:ascii="Times" w:hAnsi="Times"/>
                <w:lang w:val="sr-Cyrl-CS"/>
              </w:rPr>
              <w:t>Теоријска настава:</w:t>
            </w:r>
            <w:r w:rsidR="00F9450D" w:rsidRPr="00DE1AB1">
              <w:rPr>
                <w:rFonts w:ascii="Times" w:hAnsi="Times"/>
                <w:lang w:val="sr-Cyrl-CS"/>
              </w:rPr>
              <w:t xml:space="preserve"> 4</w:t>
            </w:r>
          </w:p>
        </w:tc>
        <w:tc>
          <w:tcPr>
            <w:tcW w:w="3723" w:type="dxa"/>
          </w:tcPr>
          <w:p w:rsidR="00A22DE0" w:rsidRPr="00DE1AB1" w:rsidRDefault="00A22DE0" w:rsidP="00BD41CF">
            <w:pPr>
              <w:jc w:val="both"/>
              <w:rPr>
                <w:rFonts w:ascii="Times" w:hAnsi="Times"/>
                <w:bCs/>
                <w:lang w:val="sr-Cyrl-CS"/>
              </w:rPr>
            </w:pPr>
            <w:r w:rsidRPr="00DE1AB1">
              <w:rPr>
                <w:rFonts w:ascii="Times" w:hAnsi="Times"/>
                <w:lang w:val="sr-Cyrl-CS"/>
              </w:rPr>
              <w:t>Практична настава:</w:t>
            </w:r>
          </w:p>
        </w:tc>
      </w:tr>
      <w:tr w:rsidR="00A22DE0" w:rsidRPr="00DE1AB1" w:rsidTr="00DE1AB1">
        <w:trPr>
          <w:trHeight w:val="227"/>
          <w:jc w:val="center"/>
        </w:trPr>
        <w:tc>
          <w:tcPr>
            <w:tcW w:w="9350" w:type="dxa"/>
            <w:gridSpan w:val="3"/>
          </w:tcPr>
          <w:p w:rsidR="00A22DE0" w:rsidRPr="00DE1AB1" w:rsidRDefault="00A22DE0" w:rsidP="00BD41CF">
            <w:pPr>
              <w:jc w:val="both"/>
              <w:rPr>
                <w:rFonts w:ascii="Times" w:hAnsi="Times"/>
                <w:b/>
                <w:bCs/>
                <w:lang w:val="sr-Cyrl-CS"/>
              </w:rPr>
            </w:pPr>
            <w:r w:rsidRPr="00DE1AB1">
              <w:rPr>
                <w:rFonts w:ascii="Times" w:hAnsi="Times"/>
                <w:b/>
                <w:bCs/>
                <w:lang w:val="sr-Cyrl-CS"/>
              </w:rPr>
              <w:lastRenderedPageBreak/>
              <w:t>Методе извођења наставе</w:t>
            </w:r>
          </w:p>
          <w:p w:rsidR="003028D1" w:rsidRPr="00DE1AB1" w:rsidRDefault="00F816FC" w:rsidP="003028D1">
            <w:pPr>
              <w:jc w:val="both"/>
              <w:rPr>
                <w:rFonts w:ascii="Times" w:hAnsi="Times"/>
                <w:lang w:val="sr-Cyrl-CS"/>
              </w:rPr>
            </w:pPr>
            <w:r w:rsidRPr="00DE1AB1">
              <w:rPr>
                <w:rFonts w:ascii="Times" w:hAnsi="Times"/>
                <w:lang w:val="sr-Cyrl-CS"/>
              </w:rPr>
              <w:t>Настава се изводи у форми предавања, анализе текстова</w:t>
            </w:r>
            <w:r w:rsidR="003028D1">
              <w:rPr>
                <w:rFonts w:ascii="Times" w:hAnsi="Times"/>
                <w:lang w:val="sr-Cyrl-CS"/>
              </w:rPr>
              <w:t xml:space="preserve">, </w:t>
            </w:r>
            <w:r w:rsidRPr="00DE1AB1">
              <w:rPr>
                <w:rFonts w:ascii="Times" w:hAnsi="Times"/>
                <w:lang w:val="sr-Cyrl-CS"/>
              </w:rPr>
              <w:t>семинарских расправа</w:t>
            </w:r>
            <w:r w:rsidR="003028D1">
              <w:rPr>
                <w:rFonts w:ascii="Times" w:hAnsi="Times"/>
                <w:lang w:val="sr-Cyrl-CS"/>
              </w:rPr>
              <w:t xml:space="preserve"> и студентских презентација</w:t>
            </w:r>
          </w:p>
        </w:tc>
      </w:tr>
      <w:tr w:rsidR="00A22DE0" w:rsidRPr="00DE1AB1" w:rsidTr="00DE1AB1">
        <w:trPr>
          <w:trHeight w:val="227"/>
          <w:jc w:val="center"/>
        </w:trPr>
        <w:tc>
          <w:tcPr>
            <w:tcW w:w="9350" w:type="dxa"/>
            <w:gridSpan w:val="3"/>
          </w:tcPr>
          <w:p w:rsidR="00A22DE0" w:rsidRPr="003028D1" w:rsidRDefault="00A22DE0" w:rsidP="00BD41CF">
            <w:pPr>
              <w:jc w:val="both"/>
              <w:rPr>
                <w:rFonts w:ascii="Times" w:hAnsi="Times"/>
                <w:b/>
                <w:bCs/>
              </w:rPr>
            </w:pPr>
            <w:r w:rsidRPr="00DE1AB1">
              <w:rPr>
                <w:rFonts w:ascii="Times" w:hAnsi="Times"/>
                <w:b/>
                <w:bCs/>
                <w:lang w:val="sr-Cyrl-CS"/>
              </w:rPr>
              <w:t>Оцена  знања (максимални број поена 100)</w:t>
            </w:r>
            <w:r w:rsidR="003028D1">
              <w:rPr>
                <w:rFonts w:ascii="Times" w:hAnsi="Times"/>
                <w:b/>
                <w:bCs/>
                <w:lang w:val="sr-Cyrl-CS"/>
              </w:rPr>
              <w:t xml:space="preserve">: </w:t>
            </w:r>
            <w:r w:rsidR="003028D1">
              <w:t>Учешће у дискусијама (20), презентација (20), пис</w:t>
            </w:r>
            <w:r w:rsidR="00BD5295">
              <w:t>а</w:t>
            </w:r>
            <w:r w:rsidR="003028D1">
              <w:t>ни рад (30) и усмена одбрана рада (30).</w:t>
            </w:r>
          </w:p>
        </w:tc>
      </w:tr>
    </w:tbl>
    <w:p w:rsidR="00A22DE0" w:rsidRPr="00DE1AB1" w:rsidRDefault="00A22DE0" w:rsidP="00A22DE0">
      <w:pPr>
        <w:jc w:val="both"/>
        <w:rPr>
          <w:rFonts w:ascii="Times" w:hAnsi="Times"/>
          <w:b/>
          <w:u w:val="single"/>
          <w:lang w:val="sr-Cyrl-CS"/>
        </w:rPr>
      </w:pPr>
    </w:p>
    <w:p w:rsidR="006F1714" w:rsidRPr="00DE1AB1" w:rsidRDefault="006F1714">
      <w:pPr>
        <w:rPr>
          <w:rFonts w:ascii="Times" w:hAnsi="Times"/>
        </w:rPr>
      </w:pPr>
    </w:p>
    <w:sectPr w:rsidR="006F1714" w:rsidRPr="00DE1AB1" w:rsidSect="00FF71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altName w:val="﷽﷽﷽﷽﷽﷽Ą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A22DE0"/>
    <w:rsid w:val="000C7BBA"/>
    <w:rsid w:val="0013294C"/>
    <w:rsid w:val="0023076D"/>
    <w:rsid w:val="002E6D09"/>
    <w:rsid w:val="003028D1"/>
    <w:rsid w:val="003971F8"/>
    <w:rsid w:val="004630CE"/>
    <w:rsid w:val="00494586"/>
    <w:rsid w:val="004C1360"/>
    <w:rsid w:val="0050656E"/>
    <w:rsid w:val="005749F9"/>
    <w:rsid w:val="005C4AE6"/>
    <w:rsid w:val="00660090"/>
    <w:rsid w:val="006F1714"/>
    <w:rsid w:val="00742DBE"/>
    <w:rsid w:val="007A271E"/>
    <w:rsid w:val="007E4699"/>
    <w:rsid w:val="00937FE2"/>
    <w:rsid w:val="009C7ED3"/>
    <w:rsid w:val="009D7551"/>
    <w:rsid w:val="00A125F3"/>
    <w:rsid w:val="00A22DE0"/>
    <w:rsid w:val="00BD5295"/>
    <w:rsid w:val="00C71F77"/>
    <w:rsid w:val="00D27541"/>
    <w:rsid w:val="00DD76B8"/>
    <w:rsid w:val="00DE1AB1"/>
    <w:rsid w:val="00E03220"/>
    <w:rsid w:val="00E06401"/>
    <w:rsid w:val="00E35232"/>
    <w:rsid w:val="00E3609E"/>
    <w:rsid w:val="00E9451F"/>
    <w:rsid w:val="00F306BD"/>
    <w:rsid w:val="00F53BF9"/>
    <w:rsid w:val="00F816FC"/>
    <w:rsid w:val="00F9450D"/>
    <w:rsid w:val="00FF71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DE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paragraph" w:styleId="Heading1">
    <w:name w:val="heading 1"/>
    <w:basedOn w:val="Normal"/>
    <w:link w:val="Heading1Char"/>
    <w:uiPriority w:val="1"/>
    <w:qFormat/>
    <w:rsid w:val="00F53BF9"/>
    <w:pPr>
      <w:adjustRightInd/>
      <w:ind w:left="237"/>
      <w:outlineLvl w:val="0"/>
    </w:pPr>
    <w:rPr>
      <w:rFonts w:eastAsia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F53BF9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F306BD"/>
    <w:pPr>
      <w:widowControl/>
      <w:autoSpaceDE/>
      <w:autoSpaceDN/>
      <w:adjustRightInd/>
      <w:spacing w:before="100" w:beforeAutospacing="1" w:after="100" w:afterAutospacing="1"/>
    </w:pPr>
    <w:rPr>
      <w:rFonts w:ascii="Times" w:eastAsia="Times New Roman" w:hAnsi="Times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9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29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56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878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774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62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45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28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867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2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9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36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93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7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2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847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685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25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734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Surlic</dc:creator>
  <cp:lastModifiedBy>Stefan Surlic</cp:lastModifiedBy>
  <cp:revision>2</cp:revision>
  <cp:lastPrinted>2021-05-14T08:30:00Z</cp:lastPrinted>
  <dcterms:created xsi:type="dcterms:W3CDTF">2021-09-24T09:10:00Z</dcterms:created>
  <dcterms:modified xsi:type="dcterms:W3CDTF">2021-09-24T09:10:00Z</dcterms:modified>
</cp:coreProperties>
</file>